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E4" w:rsidRDefault="008878E4" w:rsidP="008878E4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86403083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авторской программы В.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Г. Горецкого, М. Н. Дементьевой, </w:t>
      </w:r>
      <w:r w:rsidR="00D33AAA">
        <w:rPr>
          <w:rFonts w:ascii="Times New Roman" w:hAnsi="Times New Roman" w:cs="Times New Roman"/>
          <w:sz w:val="28"/>
          <w:szCs w:val="28"/>
          <w:lang w:val="ru-RU"/>
        </w:rPr>
        <w:t xml:space="preserve">Н. А. Стефаненко, М. В. </w:t>
      </w:r>
      <w:proofErr w:type="spellStart"/>
      <w:r w:rsidR="00D33AAA">
        <w:rPr>
          <w:rFonts w:ascii="Times New Roman" w:hAnsi="Times New Roman" w:cs="Times New Roman"/>
          <w:sz w:val="28"/>
          <w:szCs w:val="28"/>
          <w:lang w:val="ru-RU"/>
        </w:rPr>
        <w:t>Бойкиной</w:t>
      </w:r>
      <w:proofErr w:type="spellEnd"/>
      <w:r w:rsidR="00D33AA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8878E4" w:rsidRDefault="008878E4" w:rsidP="008878E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 и задачи курса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Обучение грамоте, развитие речи и внеклассное чтение.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Литературное чтение (классное и внеклассное) и развитие речи.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Фонетика, лексика, грамматика, правописание и развитие речи.</w:t>
      </w:r>
    </w:p>
    <w:p w:rsidR="008878E4" w:rsidRDefault="008878E4" w:rsidP="008878E4">
      <w:pPr>
        <w:pStyle w:val="ParagraphStyle"/>
        <w:spacing w:after="195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следующие цели: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формирование у учащихся начальных представлений о языке как составляющей целостной картины мира;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воспитание интереса к чтению и книге; обогащение нравственного опыта младших школьников, формирование представлений о добре и зле; развитие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нравственных чувств, уважения к культуре народов многонациональной России и других стран.</w:t>
      </w:r>
    </w:p>
    <w:p w:rsidR="008878E4" w:rsidRDefault="008878E4" w:rsidP="00887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достижения поставленных целей  на уроках обучения грамоте необходимо решать следующие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освоение общекультурных навыков чтения и понимания текста; воспитание интереса к чтению и книге;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освоение первоначальных знаний о лексике, фонетике, грамматике русского языка;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878E4" w:rsidRDefault="008878E4" w:rsidP="008878E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Структура курса</w:t>
      </w:r>
    </w:p>
    <w:p w:rsidR="008878E4" w:rsidRDefault="008878E4" w:rsidP="008878E4">
      <w:pPr>
        <w:pStyle w:val="ParagraphStyle"/>
        <w:spacing w:after="195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 «Русский язык» в первом классе начинается с обучения грамоте.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обучения грамоте начинается раздельное изучение русского языка и литературного чтения.</w:t>
      </w:r>
    </w:p>
    <w:p w:rsidR="008878E4" w:rsidRDefault="008878E4" w:rsidP="008878E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Содержание курса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Виды речевой деятельности:</w:t>
      </w:r>
    </w:p>
    <w:p w:rsidR="008878E4" w:rsidRDefault="008878E4" w:rsidP="00887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(слушание). </w:t>
      </w:r>
      <w:r>
        <w:rPr>
          <w:rFonts w:ascii="Times New Roman" w:hAnsi="Times New Roman" w:cs="Times New Roman"/>
          <w:sz w:val="28"/>
          <w:szCs w:val="28"/>
          <w:lang w:val="ru-RU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8878E4" w:rsidRDefault="008878E4" w:rsidP="00887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Говорение.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Выбор языковых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8878E4" w:rsidRDefault="008878E4" w:rsidP="00887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Чтение.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 Анализ и оценка содержания, языковых особенностей и структуры текста.</w:t>
      </w:r>
    </w:p>
    <w:p w:rsidR="008878E4" w:rsidRDefault="008878E4" w:rsidP="00887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Письмо.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8878E4" w:rsidRDefault="008878E4" w:rsidP="008878E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Фонетика и орфоэпия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Гласные и согласные звуки. Смыслоразличительная функция твердых и мягких согласных звуков. 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Согласные звонкие и глухие, парные – непарные.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8878E4" w:rsidRDefault="008878E4" w:rsidP="00887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Графика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Е, е, Ё, ё,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Ю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ю, Я, 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(йотированные), их функции.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Обозначение буквами звука [й’] в разных позициях.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Знакомство с русским алфавитом как последовательностью букв.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ща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8878E4" w:rsidRDefault="008878E4" w:rsidP="00887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Слово и предложение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 именах  собственных.  Знаки  препинания  в конце  предложения  (ознакомление).</w:t>
      </w:r>
    </w:p>
    <w:p w:rsidR="008878E4" w:rsidRDefault="008878E4" w:rsidP="008878E4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Орфография</w:t>
      </w:r>
    </w:p>
    <w:p w:rsidR="008878E4" w:rsidRDefault="008878E4" w:rsidP="008878E4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Ознакомление с правилами правописания и их применение: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обозначение гласных после шипящих в позиции  под  ударением 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ща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ши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заглавная буква в начале предложения, в именах собственных (без введения термина);</w:t>
      </w:r>
    </w:p>
    <w:p w:rsidR="008878E4" w:rsidRDefault="008878E4" w:rsidP="008878E4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раздельное написание слов;</w:t>
      </w:r>
    </w:p>
    <w:p w:rsidR="008878E4" w:rsidRDefault="008878E4" w:rsidP="008878E4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перенос слов по слогам без стечения согласных;</w:t>
      </w:r>
    </w:p>
    <w:p w:rsidR="008878E4" w:rsidRDefault="008878E4" w:rsidP="008878E4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знаки препинания в конце предложения.</w:t>
      </w:r>
    </w:p>
    <w:p w:rsidR="008878E4" w:rsidRDefault="008878E4" w:rsidP="00887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речи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Понимание прочитанного текста при самостоятельном чтении вслух и при его прослушивании.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8878E4" w:rsidRDefault="008878E4" w:rsidP="008878E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Учебно-методическое обеспечение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 Печатные пособия: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Азбука. </w:t>
      </w:r>
      <w:r>
        <w:rPr>
          <w:rFonts w:ascii="Times New Roman" w:hAnsi="Times New Roman" w:cs="Times New Roman"/>
          <w:sz w:val="28"/>
          <w:szCs w:val="28"/>
          <w:lang w:val="ru-RU"/>
        </w:rPr>
        <w:t>1 класс : учеб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организаций. В  2  ч.  /  В. Г. Горецкий [и др.].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2015.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Горецкий, В.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Прописи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организаций : в 4 ч. / В. Г. Горецкий, Н. А. Федосова.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2015.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Горецкий, В.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Обучение грамоте. 1 класс. Методическое пособие с поурочными разработками / В. Г. Горецкий, Н.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Белянкова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2012.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Жиренко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О.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Поурочные  разработки  по  обучению   грамоте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чтение и письмо.   1 класс  / О. 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Л. А. Обухова.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2015.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Крылова, О.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Тесты по обучению грамоте к учебнику В. Г. Горецкого и др. «Азбука». 1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2 ч. / О. Н. Крылова.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Экзамен, 2015.</w:t>
      </w:r>
    </w:p>
    <w:p w:rsidR="008878E4" w:rsidRDefault="008878E4" w:rsidP="00887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2. Материально-технические средства:</w:t>
      </w:r>
    </w:p>
    <w:p w:rsidR="008878E4" w:rsidRDefault="008878E4" w:rsidP="00887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AC15AA" w:rsidRDefault="00AC15AA"/>
    <w:sectPr w:rsidR="00AC15AA" w:rsidSect="00BE77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9"/>
    <w:rsid w:val="008878E4"/>
    <w:rsid w:val="00AC15AA"/>
    <w:rsid w:val="00B449F9"/>
    <w:rsid w:val="00D3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7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878E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878E4"/>
    <w:rPr>
      <w:color w:val="000000"/>
      <w:sz w:val="20"/>
      <w:szCs w:val="20"/>
    </w:rPr>
  </w:style>
  <w:style w:type="character" w:customStyle="1" w:styleId="Heading">
    <w:name w:val="Heading"/>
    <w:uiPriority w:val="99"/>
    <w:rsid w:val="008878E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878E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878E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878E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878E4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7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878E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878E4"/>
    <w:rPr>
      <w:color w:val="000000"/>
      <w:sz w:val="20"/>
      <w:szCs w:val="20"/>
    </w:rPr>
  </w:style>
  <w:style w:type="character" w:customStyle="1" w:styleId="Heading">
    <w:name w:val="Heading"/>
    <w:uiPriority w:val="99"/>
    <w:rsid w:val="008878E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878E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878E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878E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878E4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2020-02-17T05:12:00Z</dcterms:created>
  <dcterms:modified xsi:type="dcterms:W3CDTF">2020-02-17T07:02:00Z</dcterms:modified>
</cp:coreProperties>
</file>